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D9" w:rsidRDefault="00C15AD9" w:rsidP="00C15AD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B0E" w:rsidRDefault="00953B0E" w:rsidP="00C15A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5AD9" w:rsidRPr="00391260" w:rsidRDefault="00C15AD9" w:rsidP="00C15A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AD9" w:rsidRDefault="00C15AD9" w:rsidP="00C15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t>КАРТА КОРРУПЦИОННЫХ РИСКОВ и мер по их минимизации</w:t>
      </w:r>
    </w:p>
    <w:p w:rsidR="00C15AD9" w:rsidRPr="00391260" w:rsidRDefault="00C15AD9" w:rsidP="00C15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научного</w:t>
      </w:r>
      <w:r w:rsidRPr="0039126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91260">
        <w:rPr>
          <w:rFonts w:ascii="Times New Roman" w:hAnsi="Times New Roman" w:cs="Times New Roman"/>
          <w:sz w:val="28"/>
          <w:szCs w:val="28"/>
        </w:rPr>
        <w:t>«Всероссийский научно-исследовательский 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60">
        <w:rPr>
          <w:rFonts w:ascii="Times New Roman" w:hAnsi="Times New Roman" w:cs="Times New Roman"/>
          <w:sz w:val="28"/>
          <w:szCs w:val="28"/>
        </w:rPr>
        <w:t>сельскохозяйственной биотехнологии»</w:t>
      </w:r>
    </w:p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32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693"/>
        <w:gridCol w:w="2269"/>
        <w:gridCol w:w="1981"/>
        <w:gridCol w:w="1977"/>
        <w:gridCol w:w="1554"/>
        <w:gridCol w:w="2553"/>
        <w:gridCol w:w="2725"/>
      </w:tblGrid>
      <w:tr w:rsidR="00C15AD9" w:rsidRPr="00BF5D08" w:rsidTr="00670027">
        <w:trPr>
          <w:trHeight w:val="140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Процессы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Критические точки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выгоды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(низкая,</w:t>
            </w:r>
            <w:proofErr w:type="gramEnd"/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высокая)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коррупционных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платежей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но минимизации (устранению) коррупционного риска</w:t>
            </w:r>
          </w:p>
        </w:tc>
      </w:tr>
      <w:tr w:rsidR="00C15AD9" w:rsidRPr="00BF5D08" w:rsidTr="00670027">
        <w:trPr>
          <w:trHeight w:val="357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родственников, знакомых, либо иной личной заинтересованности.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40B" w:rsidRDefault="00C15AD9" w:rsidP="00613271">
            <w:pPr>
              <w:rPr>
                <w:rFonts w:ascii="Times New Roman" w:hAnsi="Times New Roman" w:cs="Times New Roman"/>
              </w:rPr>
            </w:pPr>
            <w:r w:rsidRPr="004C0EFD">
              <w:rPr>
                <w:rFonts w:ascii="Times New Roman" w:hAnsi="Times New Roman" w:cs="Times New Roman"/>
              </w:rPr>
              <w:t>Протекционизм,</w:t>
            </w:r>
          </w:p>
          <w:p w:rsidR="00C15AD9" w:rsidRPr="004C0EFD" w:rsidRDefault="00C15AD9" w:rsidP="00613271">
            <w:pPr>
              <w:rPr>
                <w:rFonts w:ascii="Times New Roman" w:hAnsi="Times New Roman" w:cs="Times New Roman"/>
              </w:rPr>
            </w:pPr>
            <w:proofErr w:type="gramStart"/>
            <w:r w:rsidRPr="004C0EFD">
              <w:rPr>
                <w:rFonts w:ascii="Times New Roman" w:hAnsi="Times New Roman" w:cs="Times New Roman"/>
              </w:rPr>
              <w:t>семейственность, влияющие на уровень заработной платы, получение материальных ценностей в личное пользование</w:t>
            </w:r>
            <w:proofErr w:type="gram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670027" w:rsidRDefault="00C15AD9" w:rsidP="00613271">
            <w:pPr>
              <w:rPr>
                <w:rFonts w:ascii="Times New Roman" w:hAnsi="Times New Roman" w:cs="Times New Roman"/>
              </w:rPr>
            </w:pPr>
            <w:r w:rsidRPr="00670027">
              <w:rPr>
                <w:rFonts w:ascii="Times New Roman" w:hAnsi="Times New Roman" w:cs="Times New Roman"/>
              </w:rPr>
              <w:t>Директор, заместители директора, главный бухгалтер, главный инженер, руководители структурных подразделений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670027" w:rsidRDefault="00C15AD9" w:rsidP="00613271">
            <w:pPr>
              <w:rPr>
                <w:rFonts w:ascii="Times New Roman" w:hAnsi="Times New Roman" w:cs="Times New Roman"/>
              </w:rPr>
            </w:pPr>
            <w:r w:rsidRPr="00670027">
              <w:rPr>
                <w:rFonts w:ascii="Times New Roman" w:hAnsi="Times New Roman" w:cs="Times New Roman"/>
              </w:rPr>
              <w:t>Получение в личное распоряжение материальных ценностей и денежных средств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Информационная открытость деятельности Института. Разъяснение работникам об обязанности незамедлительно сообщить директору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</w:tbl>
    <w:p w:rsidR="00670027" w:rsidRDefault="00670027"/>
    <w:tbl>
      <w:tblPr>
        <w:tblOverlap w:val="never"/>
        <w:tblW w:w="1532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693"/>
        <w:gridCol w:w="2269"/>
        <w:gridCol w:w="1981"/>
        <w:gridCol w:w="1977"/>
        <w:gridCol w:w="1564"/>
        <w:gridCol w:w="2543"/>
        <w:gridCol w:w="2725"/>
      </w:tblGrid>
      <w:tr w:rsidR="00C15AD9" w:rsidRPr="00BF5D08" w:rsidTr="00670027">
        <w:trPr>
          <w:trHeight w:val="22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Незаконный (противоправный) характер получаемых работником преимуществ (льгот, необоснованной заработной платы)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директора, главный бухгалтер, руководители структурных подразделений, заведующий отделом кадров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подарков, Наличных денежных средств от соискателя вакансии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Разъяснение работникам о мерах ответственности за совершение коррупционных правонарушений Проведение собеседования при приеме на работу</w:t>
            </w:r>
          </w:p>
        </w:tc>
      </w:tr>
      <w:tr w:rsidR="00C15AD9" w:rsidRPr="00BF5D08" w:rsidTr="00670027">
        <w:trPr>
          <w:trHeight w:val="50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Работа со служебной информацией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Директор, заместители директора, специалисты отдела кадров, охраны труда</w:t>
            </w:r>
            <w:r>
              <w:rPr>
                <w:rFonts w:ascii="Times New Roman" w:hAnsi="Times New Roman" w:cs="Times New Roman"/>
              </w:rPr>
              <w:t>,</w:t>
            </w:r>
            <w:r w:rsidRPr="00B32308">
              <w:rPr>
                <w:rFonts w:ascii="Times New Roman" w:hAnsi="Times New Roman" w:cs="Times New Roman"/>
              </w:rPr>
              <w:t xml:space="preserve"> руководитель контрактного отдела, специалисты контрактного отдела, руководители структурных подразделений, специалисты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Соблюдение утвержденной антикоррупционной политики Института. Ознакомление с нормативными документами, регламентирующими вопросы предупреждения и противодействия коррупции в Институте. Разъяснение работникам Института положений законодательства о мерах ответственности за совершение коррупционных правонарушений</w:t>
            </w:r>
          </w:p>
        </w:tc>
      </w:tr>
      <w:tr w:rsidR="00C15AD9" w:rsidRPr="00BF5D08" w:rsidTr="00670027">
        <w:trPr>
          <w:trHeight w:val="20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Оплата труда сотрудников, расчет заработной платы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 xml:space="preserve">Необоснованное начисление премий, </w:t>
            </w:r>
            <w:r>
              <w:rPr>
                <w:rFonts w:ascii="Times New Roman" w:hAnsi="Times New Roman" w:cs="Times New Roman"/>
              </w:rPr>
              <w:t>о</w:t>
            </w:r>
            <w:r w:rsidRPr="00B32308">
              <w:rPr>
                <w:rFonts w:ascii="Times New Roman" w:hAnsi="Times New Roman" w:cs="Times New Roman"/>
              </w:rPr>
              <w:t xml:space="preserve">плата рабочего времени не в полном объеме, оплата рабочего времени в полном объеме в случаях, когда сотрудник фактически отсутствовал </w:t>
            </w:r>
            <w:proofErr w:type="gramStart"/>
            <w:r w:rsidRPr="00B32308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670027" w:rsidRDefault="00C15AD9" w:rsidP="00613271">
            <w:pPr>
              <w:rPr>
                <w:rFonts w:ascii="Times New Roman" w:hAnsi="Times New Roman" w:cs="Times New Roman"/>
              </w:rPr>
            </w:pPr>
            <w:r w:rsidRPr="00670027">
              <w:rPr>
                <w:rFonts w:ascii="Times New Roman" w:hAnsi="Times New Roman" w:cs="Times New Roman"/>
              </w:rPr>
              <w:t>Необоснованное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027">
              <w:rPr>
                <w:rFonts w:ascii="Times New Roman" w:hAnsi="Times New Roman" w:cs="Times New Roman"/>
              </w:rPr>
              <w:t>обогащение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Директор, заместители директора,  главный бухгалтер, работники бухгалтерии,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наличных денежных средств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Установление системы оплаты труда, нормирования труда, совершенствование показателей эффективности по должностям и структурным подразделениям. Установление стимулирующих выплат</w:t>
            </w:r>
          </w:p>
        </w:tc>
      </w:tr>
    </w:tbl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690"/>
        <w:gridCol w:w="2270"/>
        <w:gridCol w:w="1978"/>
        <w:gridCol w:w="1978"/>
        <w:gridCol w:w="1560"/>
        <w:gridCol w:w="2549"/>
        <w:gridCol w:w="2731"/>
      </w:tblGrid>
      <w:tr w:rsidR="00C15AD9" w:rsidRPr="00BF5D08" w:rsidTr="00613271">
        <w:trPr>
          <w:trHeight w:val="17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proofErr w:type="gramStart"/>
            <w:r w:rsidRPr="00B32308">
              <w:rPr>
                <w:rFonts w:ascii="Times New Roman" w:hAnsi="Times New Roman" w:cs="Times New Roman"/>
              </w:rPr>
              <w:t>рабочем</w:t>
            </w:r>
            <w:proofErr w:type="gramEnd"/>
            <w:r w:rsidRPr="00B32308">
              <w:rPr>
                <w:rFonts w:ascii="Times New Roman" w:hAnsi="Times New Roman" w:cs="Times New Roman"/>
              </w:rPr>
              <w:t xml:space="preserve"> месте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руководители</w:t>
            </w:r>
          </w:p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структурных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08">
              <w:rPr>
                <w:rFonts w:ascii="Times New Roman" w:hAnsi="Times New Roman" w:cs="Times New Roman"/>
              </w:rPr>
              <w:t>подразделений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32308" w:rsidRDefault="00C15AD9" w:rsidP="00613271">
            <w:pPr>
              <w:rPr>
                <w:rFonts w:ascii="Times New Roman" w:hAnsi="Times New Roman" w:cs="Times New Roman"/>
              </w:rPr>
            </w:pPr>
            <w:r w:rsidRPr="00B32308">
              <w:rPr>
                <w:rFonts w:ascii="Times New Roman" w:hAnsi="Times New Roman" w:cs="Times New Roman"/>
              </w:rPr>
              <w:t>с учетом мнения заместителей директора, представлений начальников (заведующих) структурных подразделений</w:t>
            </w:r>
          </w:p>
        </w:tc>
      </w:tr>
      <w:tr w:rsidR="00C15AD9" w:rsidRPr="00BF5D08" w:rsidTr="00613271">
        <w:trPr>
          <w:trHeight w:val="40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>Необъективная оценка деятельности сотрудников Института, завышение (занижение) результативности труда и уровня профессиональных компетенций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Необоснованное завышение (занижение) оплаты труда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>Привлечение в аттестационную комиссию независимых представителей профкома Коллегиальность при принятии решений об аттестации/</w:t>
            </w:r>
            <w:proofErr w:type="spellStart"/>
            <w:r w:rsidRPr="004A0A6B">
              <w:rPr>
                <w:rFonts w:ascii="Times New Roman" w:hAnsi="Times New Roman" w:cs="Times New Roman"/>
              </w:rPr>
              <w:t>неаттестации</w:t>
            </w:r>
            <w:proofErr w:type="spellEnd"/>
            <w:r w:rsidRPr="004A0A6B">
              <w:rPr>
                <w:rFonts w:ascii="Times New Roman" w:hAnsi="Times New Roman" w:cs="Times New Roman"/>
              </w:rPr>
              <w:t xml:space="preserve"> работников Недопущение дискриминационных факторов и личных предпочтений при принятии решения об аттестации/</w:t>
            </w:r>
            <w:proofErr w:type="spellStart"/>
            <w:r w:rsidRPr="004A0A6B">
              <w:rPr>
                <w:rFonts w:ascii="Times New Roman" w:hAnsi="Times New Roman" w:cs="Times New Roman"/>
              </w:rPr>
              <w:t>неаттестации</w:t>
            </w:r>
            <w:proofErr w:type="spellEnd"/>
            <w:r w:rsidRPr="004A0A6B">
              <w:rPr>
                <w:rFonts w:ascii="Times New Roman" w:hAnsi="Times New Roman" w:cs="Times New Roman"/>
              </w:rPr>
              <w:t xml:space="preserve"> в отношении конкретных работников.</w:t>
            </w:r>
          </w:p>
        </w:tc>
      </w:tr>
      <w:tr w:rsidR="00C15AD9" w:rsidRPr="00BF5D08" w:rsidTr="00613271">
        <w:trPr>
          <w:trHeight w:val="30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Учет материальных ценностей и ведение баз данных материальных ценностей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 xml:space="preserve">Несвоевременная постановка на регистрационный учет материальных ценностей Умышленное досрочное списание материальных средств и расходных материалов с регистрационного </w:t>
            </w:r>
            <w:r w:rsidRPr="004A0A6B">
              <w:rPr>
                <w:rFonts w:ascii="Times New Roman" w:hAnsi="Times New Roman" w:cs="Times New Roman"/>
              </w:rPr>
              <w:lastRenderedPageBreak/>
              <w:t>учета материальных ценностей Отсутствие регулярного контроля наличия и сохранности материальных ценностей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Сговор с должностными лицами, отвечающими за соответствующие участки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 xml:space="preserve">Заместитель директора по финансовой работе, заместитель директора по развитию и информатизации, главный бухгалтер, работники </w:t>
            </w:r>
            <w:r w:rsidRPr="004A0A6B">
              <w:rPr>
                <w:rFonts w:ascii="Times New Roman" w:hAnsi="Times New Roman" w:cs="Times New Roman"/>
              </w:rPr>
              <w:lastRenderedPageBreak/>
              <w:t>бухгалтерии, заведующий ОМТС, материально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A6B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в личное распоряжение материальных ценностей и денежных средств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инвентаризации материальных ценностей Привлечение при списании материальных ценностей независимой 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экспертизы, проведение внутреннего аудита</w:t>
            </w:r>
          </w:p>
        </w:tc>
      </w:tr>
    </w:tbl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31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690"/>
        <w:gridCol w:w="2270"/>
        <w:gridCol w:w="1978"/>
        <w:gridCol w:w="1978"/>
        <w:gridCol w:w="1565"/>
        <w:gridCol w:w="2544"/>
        <w:gridCol w:w="2722"/>
      </w:tblGrid>
      <w:tr w:rsidR="00C15AD9" w:rsidRPr="00BF5D08" w:rsidTr="00613271">
        <w:trPr>
          <w:trHeight w:val="50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Составление,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справок,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Искажение, сокрытие или предоставление заведомо ложных сведений в отчетных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Сговор с должностным лицом, принимающим отчетность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A6B">
              <w:rPr>
                <w:rFonts w:ascii="Times New Roman" w:hAnsi="Times New Roman" w:cs="Times New Roman"/>
              </w:rPr>
              <w:t>Заместители директора, главный бухгалтер, работники бухгалтерии; главный инженер, главный механик, главный энергетик,</w:t>
            </w:r>
            <w:proofErr w:type="gramStart"/>
            <w:r w:rsidRPr="004A0A6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 заведующий отделом кадров, начальник юридического отдела, руководители структурных подразделений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Дарение подарков, наличных денежных средств и оказание неслужебных услуг должностным лицам, принимающим документы, отчеты; Получение наличных денежных средств, подарков от получателей справок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контролю деятельности работников, 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осу </w:t>
            </w:r>
            <w:proofErr w:type="spell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  <w:r w:rsidR="004D23AB">
              <w:rPr>
                <w:rFonts w:ascii="Times New Roman" w:hAnsi="Times New Roman" w:cs="Times New Roman"/>
                <w:sz w:val="28"/>
                <w:szCs w:val="28"/>
              </w:rPr>
              <w:t>ляющих</w:t>
            </w:r>
            <w:proofErr w:type="spellEnd"/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отчетности, основанного на механизме проверочных мероприятий</w:t>
            </w:r>
          </w:p>
        </w:tc>
      </w:tr>
      <w:tr w:rsidR="00C15AD9" w:rsidRPr="00BF5D08" w:rsidTr="00613271">
        <w:trPr>
          <w:trHeight w:val="23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закупок, заключение контрактов и других гражданск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договоров на поставку товаров,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выполнение работ, оказание услуг для нужд учреждения </w:t>
            </w:r>
            <w:r w:rsidRPr="004A0A6B">
              <w:rPr>
                <w:rFonts w:ascii="Times New Roman" w:hAnsi="Times New Roman" w:cs="Times New Roman"/>
              </w:rPr>
              <w:lastRenderedPageBreak/>
              <w:t>(ограничение</w:t>
            </w:r>
            <w:proofErr w:type="gramStart"/>
            <w:r w:rsidRPr="004A0A6B">
              <w:rPr>
                <w:rFonts w:ascii="Times New Roman" w:hAnsi="Times New Roman" w:cs="Times New Roman"/>
              </w:rPr>
              <w:t>)к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</w:t>
            </w:r>
            <w:r w:rsidRPr="004A0A6B">
              <w:rPr>
                <w:rFonts w:ascii="Times New Roman" w:hAnsi="Times New Roman" w:cs="Times New Roman"/>
              </w:rPr>
              <w:lastRenderedPageBreak/>
              <w:t>размытый перечень необходимых критериев допуска и отбора; неадекватный способ выбора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A6B">
              <w:rPr>
                <w:rFonts w:ascii="Times New Roman" w:hAnsi="Times New Roman" w:cs="Times New Roman"/>
              </w:rPr>
              <w:t>функции по осуществлению закупок,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Сговор с контрагентом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директора, руководитель и работники контрактного отдела, члены Единой комиссии, члены Приемочной комиссии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наличных денежных средств от контрагента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A6B">
              <w:rPr>
                <w:rFonts w:ascii="Times New Roman" w:hAnsi="Times New Roman" w:cs="Times New Roman"/>
              </w:rPr>
              <w:t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федеральными законами.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A6B">
              <w:rPr>
                <w:rFonts w:ascii="Times New Roman" w:hAnsi="Times New Roman" w:cs="Times New Roman"/>
              </w:rPr>
              <w:t xml:space="preserve">Разъяснение работникам учреждения, связанным с заключением контрактов и договоров, о мерах ответственности за </w:t>
            </w:r>
            <w:r w:rsidRPr="004A0A6B">
              <w:rPr>
                <w:rFonts w:ascii="Times New Roman" w:hAnsi="Times New Roman" w:cs="Times New Roman"/>
              </w:rPr>
              <w:lastRenderedPageBreak/>
              <w:t xml:space="preserve">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 Осуществление </w:t>
            </w:r>
            <w:proofErr w:type="gramStart"/>
            <w:r w:rsidRPr="004A0A6B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 деятельностью структурных подразделений, ответственных за проведение закупок</w:t>
            </w:r>
            <w:r w:rsidRPr="004A0A6B">
              <w:rPr>
                <w:rFonts w:ascii="Times New Roman" w:hAnsi="Times New Roman" w:cs="Times New Roman"/>
              </w:rPr>
              <w:br w:type="page"/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D9" w:rsidRPr="00BF5D08" w:rsidTr="00613271">
        <w:trPr>
          <w:trHeight w:val="23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proofErr w:type="gramStart"/>
            <w:r w:rsidRPr="004A0A6B">
              <w:rPr>
                <w:rFonts w:ascii="Times New Roman" w:hAnsi="Times New Roman" w:cs="Times New Roman"/>
              </w:rPr>
              <w:t xml:space="preserve">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 заключение договоров без соблюдения установленной </w:t>
            </w:r>
            <w:r w:rsidRPr="004A0A6B">
              <w:rPr>
                <w:rFonts w:ascii="Times New Roman" w:hAnsi="Times New Roman" w:cs="Times New Roman"/>
              </w:rPr>
              <w:lastRenderedPageBreak/>
              <w:t>процедуры; отказ от проведения мониторинга цен на товары и услуги;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D9" w:rsidRPr="00BF5D08" w:rsidTr="00613271">
        <w:trPr>
          <w:trHeight w:val="23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C0EFD" w:rsidRDefault="00C15AD9" w:rsidP="00613271">
            <w:pPr>
              <w:rPr>
                <w:rFonts w:ascii="Times New Roman" w:hAnsi="Times New Roman" w:cs="Times New Roman"/>
              </w:rPr>
            </w:pPr>
            <w:r w:rsidRPr="004C0EFD">
              <w:rPr>
                <w:rFonts w:ascii="Times New Roman" w:hAnsi="Times New Roman" w:cs="Times New Roman"/>
              </w:rPr>
              <w:t>Осуществление</w:t>
            </w:r>
          </w:p>
          <w:p w:rsidR="00C15AD9" w:rsidRPr="004C0EFD" w:rsidRDefault="00C15AD9" w:rsidP="00613271">
            <w:pPr>
              <w:rPr>
                <w:rFonts w:ascii="Times New Roman" w:hAnsi="Times New Roman" w:cs="Times New Roman"/>
              </w:rPr>
            </w:pPr>
            <w:r w:rsidRPr="004C0EFD">
              <w:rPr>
                <w:rFonts w:ascii="Times New Roman" w:hAnsi="Times New Roman" w:cs="Times New Roman"/>
              </w:rPr>
              <w:t>образовательной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FD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A0A6B" w:rsidRDefault="00C15AD9" w:rsidP="00D30688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 xml:space="preserve">При проведении вступительных экзаменов, промежуточной и итоговой аттестации обучаемых, положительное заключение </w:t>
            </w:r>
            <w:proofErr w:type="gramStart"/>
            <w:r w:rsidRPr="004A0A6B">
              <w:rPr>
                <w:rFonts w:ascii="Times New Roman" w:hAnsi="Times New Roman" w:cs="Times New Roman"/>
              </w:rPr>
              <w:t>по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 фактически не </w:t>
            </w:r>
            <w:proofErr w:type="gramStart"/>
            <w:r w:rsidRPr="004A0A6B">
              <w:rPr>
                <w:rFonts w:ascii="Times New Roman" w:hAnsi="Times New Roman" w:cs="Times New Roman"/>
              </w:rPr>
              <w:t>прошедшим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 обучение, прошедшим обучение неудовлетворительно за денежное вознаграждение или его эквивалент. При выдаче документов о прохождении обучения выдача документов при отсутствии фактического </w:t>
            </w:r>
            <w:r w:rsidRPr="004A0A6B">
              <w:rPr>
                <w:rFonts w:ascii="Times New Roman" w:hAnsi="Times New Roman" w:cs="Times New Roman"/>
              </w:rPr>
              <w:lastRenderedPageBreak/>
              <w:t>прохождения обучения, неполного обучения и т.д. за денежное вознаграждение или его эквивалент.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Необоснованное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обогащение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директора, заведующий отделом  аспирантуры, руководители структурных подразделений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наличных денежных средств от 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, уменьшение личных трудозатрат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Периодическое разъяснение работникам обязанности незамедлительно сообщить представителю работодателя о склонении его к совершению коррупционного правонарушения; мер ответственности за совершение коррупционных правонарушений</w:t>
            </w:r>
          </w:p>
        </w:tc>
      </w:tr>
    </w:tbl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Overlap w:val="never"/>
        <w:tblW w:w="151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690"/>
        <w:gridCol w:w="2270"/>
        <w:gridCol w:w="1978"/>
        <w:gridCol w:w="1978"/>
        <w:gridCol w:w="1579"/>
        <w:gridCol w:w="2530"/>
        <w:gridCol w:w="2722"/>
      </w:tblGrid>
      <w:tr w:rsidR="00C15AD9" w:rsidRPr="00BF5D08" w:rsidTr="00613271">
        <w:trPr>
          <w:trHeight w:val="3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функций по 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нормативных правовых актов (инспекции, проверки, ревизии)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B84">
              <w:rPr>
                <w:rFonts w:ascii="Times New Roman" w:hAnsi="Times New Roman" w:cs="Times New Roman"/>
              </w:rPr>
              <w:t xml:space="preserve">Осуществление контроля за деятельностью структурных подразделений, расходования бюджетных средств, выполнения государственного задания на оказание государственных услуг (выполнение работ), качества оказания услуг основной деятельности, сохранности денежных средств и </w:t>
            </w:r>
            <w:proofErr w:type="spellStart"/>
            <w:proofErr w:type="gramStart"/>
            <w:r w:rsidRPr="00137B84">
              <w:rPr>
                <w:rFonts w:ascii="Times New Roman" w:hAnsi="Times New Roman" w:cs="Times New Roman"/>
              </w:rPr>
              <w:t>товарно</w:t>
            </w:r>
            <w:proofErr w:type="spellEnd"/>
            <w:r w:rsidRPr="00137B84">
              <w:rPr>
                <w:rFonts w:ascii="Times New Roman" w:hAnsi="Times New Roman" w:cs="Times New Roman"/>
              </w:rPr>
              <w:t xml:space="preserve"> — материальных</w:t>
            </w:r>
            <w:proofErr w:type="gramEnd"/>
            <w:r w:rsidRPr="00137B84">
              <w:rPr>
                <w:rFonts w:ascii="Times New Roman" w:hAnsi="Times New Roman" w:cs="Times New Roman"/>
              </w:rPr>
              <w:t xml:space="preserve"> ценностей, оказание платных услуг и состояния технической защиты информации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Сговор с 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проверяющим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Директор, главный бухгалтер, заместители директора, заведующий отделом кадров, начальник юридического отдела, главный инженер, руководители структурных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в личное распоряжение материальных ценностей и денежных средств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нормативных документов в области противодействия коррупции Организация внутреннего 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</w:tbl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br w:type="page"/>
      </w:r>
    </w:p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32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0"/>
        <w:gridCol w:w="2266"/>
        <w:gridCol w:w="1982"/>
        <w:gridCol w:w="1978"/>
        <w:gridCol w:w="1584"/>
        <w:gridCol w:w="2520"/>
        <w:gridCol w:w="2731"/>
      </w:tblGrid>
      <w:tr w:rsidR="00C15AD9" w:rsidRPr="00BF5D08" w:rsidTr="00613271">
        <w:trPr>
          <w:trHeight w:val="22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073">
              <w:rPr>
                <w:rFonts w:ascii="Times New Roman" w:hAnsi="Times New Roman" w:cs="Times New Roman"/>
              </w:rPr>
              <w:t>Осуществление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функций получателя бюджетных </w:t>
            </w:r>
            <w:proofErr w:type="gramStart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End"/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возложенных на Институт полномочий. Финансовое обеспечение деятельности Института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277073" w:rsidRDefault="00C15AD9" w:rsidP="00613271">
            <w:pPr>
              <w:rPr>
                <w:rFonts w:ascii="Times New Roman" w:hAnsi="Times New Roman" w:cs="Times New Roman"/>
              </w:rPr>
            </w:pPr>
            <w:r w:rsidRPr="00277073">
              <w:rPr>
                <w:rFonts w:ascii="Times New Roman" w:hAnsi="Times New Roman" w:cs="Times New Roman"/>
              </w:rPr>
              <w:t>Недостаточная проверка правильности оформления поступивших на оплату первичных документов и их соответствия суммам, заложенным на расходы. Допущение возможности случаев повторной оплаты одних и тех же работ (услуг).</w:t>
            </w:r>
          </w:p>
          <w:p w:rsidR="00C15AD9" w:rsidRPr="00277073" w:rsidRDefault="00C15AD9" w:rsidP="00613271">
            <w:pPr>
              <w:rPr>
                <w:rFonts w:ascii="Times New Roman" w:hAnsi="Times New Roman" w:cs="Times New Roman"/>
              </w:rPr>
            </w:pPr>
            <w:r w:rsidRPr="00277073">
              <w:rPr>
                <w:rFonts w:ascii="Times New Roman" w:hAnsi="Times New Roman" w:cs="Times New Roman"/>
              </w:rPr>
              <w:t>При осуществлении приемки товаров (услуг), при обработке счетов, товарных накладных и актов выполненных работ по договорам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073">
              <w:rPr>
                <w:rFonts w:ascii="Times New Roman" w:hAnsi="Times New Roman" w:cs="Times New Roman"/>
              </w:rPr>
              <w:t xml:space="preserve">выявление ответственным работником факта </w:t>
            </w:r>
            <w:proofErr w:type="spellStart"/>
            <w:r w:rsidRPr="00277073">
              <w:rPr>
                <w:rFonts w:ascii="Times New Roman" w:hAnsi="Times New Roman" w:cs="Times New Roman"/>
              </w:rPr>
              <w:t>непроведения</w:t>
            </w:r>
            <w:proofErr w:type="spellEnd"/>
            <w:r w:rsidRPr="00277073">
              <w:rPr>
                <w:rFonts w:ascii="Times New Roman" w:hAnsi="Times New Roman" w:cs="Times New Roman"/>
              </w:rPr>
              <w:t xml:space="preserve"> работ и его сокрытие по договоренности с поставщиком</w:t>
            </w:r>
            <w:r>
              <w:rPr>
                <w:rFonts w:ascii="Times New Roman" w:hAnsi="Times New Roman" w:cs="Times New Roman"/>
              </w:rPr>
              <w:t>.</w:t>
            </w:r>
            <w:r w:rsidRPr="00277073">
              <w:rPr>
                <w:rFonts w:ascii="Times New Roman" w:hAnsi="Times New Roman" w:cs="Times New Roman"/>
              </w:rPr>
              <w:t xml:space="preserve"> При проверке правильности оформления </w:t>
            </w:r>
            <w:r w:rsidRPr="00277073">
              <w:rPr>
                <w:rFonts w:ascii="Times New Roman" w:hAnsi="Times New Roman" w:cs="Times New Roman"/>
              </w:rPr>
              <w:lastRenderedPageBreak/>
              <w:t>поступивших на оплату первичных документов, а также соответствия их суммам, предусмотренным контрактом (договором), выявление ответственным работником факта выполнения работ (услуг), непредусмотренных контрактом (договором</w:t>
            </w:r>
            <w:proofErr w:type="gramStart"/>
            <w:r w:rsidRPr="00277073">
              <w:rPr>
                <w:rFonts w:ascii="Times New Roman" w:hAnsi="Times New Roman" w:cs="Times New Roman"/>
              </w:rPr>
              <w:t>)и</w:t>
            </w:r>
            <w:proofErr w:type="gramEnd"/>
            <w:r w:rsidRPr="00277073">
              <w:rPr>
                <w:rFonts w:ascii="Times New Roman" w:hAnsi="Times New Roman" w:cs="Times New Roman"/>
              </w:rPr>
              <w:t xml:space="preserve"> принятие к оплате, как соответствующих контракту. Поступление предложений директору Института от заинтересованного лица способствовать за вознаграждение нецелевому использованию бюджетных средств.</w:t>
            </w:r>
          </w:p>
          <w:p w:rsidR="00C15AD9" w:rsidRPr="00137B84" w:rsidRDefault="00C15AD9" w:rsidP="00613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137B84" w:rsidRDefault="00C15AD9" w:rsidP="00613271">
            <w:pPr>
              <w:rPr>
                <w:rFonts w:ascii="Times New Roman" w:hAnsi="Times New Roman" w:cs="Times New Roman"/>
              </w:rPr>
            </w:pPr>
            <w:r w:rsidRPr="00137B84">
              <w:rPr>
                <w:rFonts w:ascii="Times New Roman" w:hAnsi="Times New Roman" w:cs="Times New Roman"/>
              </w:rPr>
              <w:lastRenderedPageBreak/>
              <w:t>Необоснованное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B84">
              <w:rPr>
                <w:rFonts w:ascii="Times New Roman" w:hAnsi="Times New Roman" w:cs="Times New Roman"/>
              </w:rPr>
              <w:t>обогащение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бухгалтера,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ФЭО,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контрактного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отдела,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наличных денежных средств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073">
              <w:rPr>
                <w:rFonts w:ascii="Times New Roman" w:hAnsi="Times New Roman" w:cs="Times New Roman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 Периодическое разъяснение работникам обязанности незамедлительно сообщить представителю работодателя о склонении его к совершению коррупционного правонарушения</w:t>
            </w:r>
          </w:p>
        </w:tc>
      </w:tr>
      <w:tr w:rsidR="00C15AD9" w:rsidRPr="00BF5D08" w:rsidTr="00613271">
        <w:trPr>
          <w:trHeight w:val="6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C0EFD" w:rsidRDefault="00C15AD9" w:rsidP="00613271">
            <w:pPr>
              <w:rPr>
                <w:rFonts w:ascii="Times New Roman" w:hAnsi="Times New Roman" w:cs="Times New Roman"/>
              </w:rPr>
            </w:pPr>
            <w:r w:rsidRPr="004C0EFD">
              <w:rPr>
                <w:rFonts w:ascii="Times New Roman" w:hAnsi="Times New Roman" w:cs="Times New Roman"/>
              </w:rPr>
              <w:t>П</w:t>
            </w:r>
            <w:r w:rsidR="00D30688">
              <w:rPr>
                <w:rFonts w:ascii="Times New Roman" w:hAnsi="Times New Roman" w:cs="Times New Roman"/>
              </w:rPr>
              <w:t>ринятие решений об использовани</w:t>
            </w:r>
            <w:r w:rsidRPr="004C0EFD">
              <w:rPr>
                <w:rFonts w:ascii="Times New Roman" w:hAnsi="Times New Roman" w:cs="Times New Roman"/>
              </w:rPr>
              <w:t>и бюджетных средств и средств от приносящей доход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4A0A6B" w:rsidRDefault="00C15AD9" w:rsidP="00613271">
            <w:pPr>
              <w:rPr>
                <w:rFonts w:ascii="Times New Roman" w:hAnsi="Times New Roman" w:cs="Times New Roman"/>
              </w:rPr>
            </w:pPr>
            <w:r w:rsidRPr="004A0A6B">
              <w:rPr>
                <w:rFonts w:ascii="Times New Roman" w:hAnsi="Times New Roman" w:cs="Times New Roman"/>
              </w:rPr>
              <w:t xml:space="preserve">Нецелевое использование бюджетных средств и </w:t>
            </w:r>
            <w:proofErr w:type="gramStart"/>
            <w:r w:rsidRPr="004A0A6B">
              <w:rPr>
                <w:rFonts w:ascii="Times New Roman" w:hAnsi="Times New Roman" w:cs="Times New Roman"/>
              </w:rPr>
              <w:t>средств, полученных от приносящей доход деятельности в целях получения материальной выгоды работнику поступает</w:t>
            </w:r>
            <w:proofErr w:type="gramEnd"/>
            <w:r w:rsidRPr="004A0A6B">
              <w:rPr>
                <w:rFonts w:ascii="Times New Roman" w:hAnsi="Times New Roman" w:cs="Times New Roman"/>
              </w:rPr>
              <w:t xml:space="preserve"> предложение за вознаграждение скрыть наличие просроченной дебиторской задолженности, не принимать меры к погашению просроченной дебиторской задолженности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в личных целях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главный инженер, заместители директора, главный бухгалтер,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наличных денежных средств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tabs>
                <w:tab w:val="left" w:leader="underscore" w:pos="548"/>
                <w:tab w:val="left" w:leader="underscore" w:pos="2660"/>
              </w:tabs>
              <w:ind w:firstLine="360"/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 xml:space="preserve">Соблюдение законодательства Российской Федерации в сфере использования средств Институтом и локальных нормативных актов Института Исключение необходимости личного взаимодействия с гражданами и организациями Ознакомление с нормативными документами, регламентирующими вопросы предупреждения и противодействия коррупции в учреждении. Разъяснительная работа о мерах ответственности за совершение коррупционных </w:t>
            </w:r>
            <w:r>
              <w:rPr>
                <w:rFonts w:ascii="Times New Roman" w:hAnsi="Times New Roman" w:cs="Times New Roman"/>
              </w:rPr>
              <w:t>правонарушений.</w:t>
            </w:r>
            <w:r w:rsidRPr="00AB735D">
              <w:rPr>
                <w:rFonts w:ascii="Times New Roman" w:hAnsi="Times New Roman" w:cs="Times New Roman"/>
              </w:rPr>
              <w:br w:type="page"/>
            </w:r>
          </w:p>
          <w:p w:rsidR="00C15AD9" w:rsidRPr="00277073" w:rsidRDefault="00C15AD9" w:rsidP="00613271">
            <w:pPr>
              <w:rPr>
                <w:rFonts w:ascii="Times New Roman" w:hAnsi="Times New Roman" w:cs="Times New Roman"/>
              </w:rPr>
            </w:pPr>
          </w:p>
        </w:tc>
      </w:tr>
      <w:tr w:rsidR="00C15AD9" w:rsidRPr="00BF5D08" w:rsidTr="00613271">
        <w:trPr>
          <w:trHeight w:val="6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735D">
              <w:rPr>
                <w:rFonts w:ascii="Times New Roman" w:hAnsi="Times New Roman" w:cs="Times New Roman"/>
              </w:rPr>
              <w:t>Взаимоотношени</w:t>
            </w:r>
            <w:proofErr w:type="spellEnd"/>
            <w:r w:rsidRPr="00AB735D">
              <w:rPr>
                <w:rFonts w:ascii="Times New Roman" w:hAnsi="Times New Roman" w:cs="Times New Roman"/>
              </w:rPr>
              <w:t xml:space="preserve"> я</w:t>
            </w:r>
            <w:proofErr w:type="gramEnd"/>
            <w:r w:rsidRPr="00AB735D">
              <w:rPr>
                <w:rFonts w:ascii="Times New Roman" w:hAnsi="Times New Roman" w:cs="Times New Roman"/>
              </w:rPr>
              <w:t xml:space="preserve"> с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5D">
              <w:rPr>
                <w:rFonts w:ascii="Times New Roman" w:hAnsi="Times New Roman" w:cs="Times New Roman"/>
              </w:rPr>
              <w:t>вышестоящими должностными лицами, с долж</w:t>
            </w:r>
            <w:r w:rsidRPr="00AB735D">
              <w:rPr>
                <w:rFonts w:ascii="Times New Roman" w:hAnsi="Times New Roman" w:cs="Times New Roman"/>
              </w:rPr>
              <w:softHyphen/>
              <w:t xml:space="preserve">ностными лицами в органах власти и управления, </w:t>
            </w:r>
            <w:proofErr w:type="gramStart"/>
            <w:r w:rsidRPr="00AB735D">
              <w:rPr>
                <w:rFonts w:ascii="Times New Roman" w:hAnsi="Times New Roman" w:cs="Times New Roman"/>
              </w:rPr>
              <w:t xml:space="preserve">правоохранитель </w:t>
            </w:r>
            <w:proofErr w:type="spellStart"/>
            <w:r w:rsidRPr="00AB735D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AB735D">
              <w:rPr>
                <w:rFonts w:ascii="Times New Roman" w:hAnsi="Times New Roman" w:cs="Times New Roman"/>
              </w:rPr>
              <w:t xml:space="preserve"> органах и различных организациях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Необоснованное</w:t>
            </w:r>
          </w:p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получение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5D">
              <w:rPr>
                <w:rFonts w:ascii="Times New Roman" w:hAnsi="Times New Roman" w:cs="Times New Roman"/>
              </w:rPr>
              <w:t>преимуществ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5D">
              <w:rPr>
                <w:rFonts w:ascii="Times New Roman" w:hAnsi="Times New Roman" w:cs="Times New Roman"/>
              </w:rPr>
              <w:t>Директор, заместители директора, руководители структурных подразделений, работники Института, уполномоченные директором представлять интересы Института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Дача взятки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277073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Соблюдение утвержденной антикоррупционной политики Института 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</w:tbl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  <w:r w:rsidRPr="00BF5D08">
        <w:rPr>
          <w:rFonts w:ascii="Times New Roman" w:hAnsi="Times New Roman" w:cs="Times New Roman"/>
          <w:sz w:val="28"/>
          <w:szCs w:val="28"/>
        </w:rPr>
        <w:br w:type="page"/>
      </w:r>
    </w:p>
    <w:p w:rsidR="00C15AD9" w:rsidRPr="00BF5D08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31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692"/>
        <w:gridCol w:w="2268"/>
        <w:gridCol w:w="1985"/>
        <w:gridCol w:w="1976"/>
        <w:gridCol w:w="1554"/>
        <w:gridCol w:w="2552"/>
        <w:gridCol w:w="2715"/>
      </w:tblGrid>
      <w:tr w:rsidR="00C15AD9" w:rsidRPr="00BF5D08" w:rsidTr="00613271">
        <w:trPr>
          <w:trHeight w:val="35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5D">
              <w:rPr>
                <w:rFonts w:ascii="Times New Roman" w:hAnsi="Times New Roman" w:cs="Times New Roman"/>
              </w:rPr>
              <w:t>Представление интересов Института в судах общей юрисдикции, арбитражном суде и иных органах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03673C" w:rsidRDefault="00C15AD9" w:rsidP="00613271">
            <w:pPr>
              <w:rPr>
                <w:rFonts w:ascii="Times New Roman" w:hAnsi="Times New Roman" w:cs="Times New Roman"/>
              </w:rPr>
            </w:pPr>
            <w:proofErr w:type="gramStart"/>
            <w:r w:rsidRPr="00227DB2">
              <w:rPr>
                <w:rFonts w:ascii="Times New Roman" w:hAnsi="Times New Roman" w:cs="Times New Roman"/>
              </w:rPr>
              <w:t>Пассивная позиция представителя Института при защите его интересов в целях принятия судебного решения в пользу третьих лиц Злоупотребление предоставленными полномочиями (при работе с контрагентами по выполнению условий заключенных договоров, контрактов ответственному работнику предлагается за вознаграждение способствовать не предъявлению претензии за допущенные нарушения условия контракта либо договора.</w:t>
            </w:r>
            <w:proofErr w:type="gramEnd"/>
            <w:r w:rsidRPr="00227DB2">
              <w:rPr>
                <w:rFonts w:ascii="Times New Roman" w:hAnsi="Times New Roman" w:cs="Times New Roman"/>
              </w:rPr>
              <w:t xml:space="preserve"> Подписание мировых соглашений на не</w:t>
            </w:r>
            <w:r>
              <w:rPr>
                <w:rFonts w:ascii="Times New Roman" w:hAnsi="Times New Roman" w:cs="Times New Roman"/>
              </w:rPr>
              <w:t>выгодных для Института условиях.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Необоснованное</w:t>
            </w:r>
          </w:p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5D">
              <w:rPr>
                <w:rFonts w:ascii="Times New Roman" w:hAnsi="Times New Roman" w:cs="Times New Roman"/>
              </w:rPr>
              <w:t>обогащение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Начальник и сотрудники юридического отдела, руководители структурных подразделений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>Получение наличных денежных средств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>Периодическое разъяснение работникам обязанности незамедлительно сообщить представителю работодателя о склонении его к совершению коррупционного правонарушения; мер ответственности за совершение коррупционных правонарушений</w:t>
            </w:r>
          </w:p>
        </w:tc>
      </w:tr>
      <w:tr w:rsidR="00C15AD9" w:rsidRPr="00BF5D08" w:rsidTr="00613271">
        <w:trPr>
          <w:trHeight w:val="53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3174"/>
              <w:tblOverlap w:val="never"/>
              <w:tblW w:w="113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1560"/>
              <w:gridCol w:w="2549"/>
              <w:gridCol w:w="2722"/>
              <w:gridCol w:w="2722"/>
            </w:tblGrid>
            <w:tr w:rsidR="00C15AD9" w:rsidRPr="00BF5D08" w:rsidTr="00613271">
              <w:trPr>
                <w:gridAfter w:val="1"/>
                <w:wAfter w:w="2722" w:type="dxa"/>
                <w:trHeight w:val="317"/>
              </w:trPr>
              <w:tc>
                <w:tcPr>
                  <w:tcW w:w="175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gridAfter w:val="1"/>
                <w:wAfter w:w="2722" w:type="dxa"/>
                <w:trHeight w:val="259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gridAfter w:val="1"/>
                <w:wAfter w:w="2722" w:type="dxa"/>
                <w:trHeight w:val="250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trHeight w:val="240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trHeight w:val="254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trHeight w:val="254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trHeight w:val="230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trHeight w:val="278"/>
              </w:trPr>
              <w:tc>
                <w:tcPr>
                  <w:tcW w:w="1757" w:type="dxa"/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5AD9" w:rsidRPr="00BF5D08" w:rsidTr="00613271">
              <w:trPr>
                <w:gridAfter w:val="1"/>
                <w:wAfter w:w="2722" w:type="dxa"/>
                <w:trHeight w:val="393"/>
              </w:trPr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15AD9" w:rsidRPr="00BF5D08" w:rsidRDefault="00C15AD9" w:rsidP="006132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проектов локальных нормативных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C58">
              <w:rPr>
                <w:rFonts w:ascii="Times New Roman" w:hAnsi="Times New Roman" w:cs="Times New Roman"/>
              </w:rPr>
              <w:t>актов по</w:t>
            </w:r>
            <w:r w:rsidRPr="00BF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73C">
              <w:rPr>
                <w:rFonts w:ascii="Times New Roman" w:hAnsi="Times New Roman" w:cs="Times New Roman"/>
              </w:rPr>
              <w:t>вопросам, относящимся к сфере деятельности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82B">
              <w:rPr>
                <w:rFonts w:ascii="Times New Roman" w:hAnsi="Times New Roman" w:cs="Times New Roman"/>
              </w:rPr>
              <w:t>Разработка проектов локальных нормативных актов, предоставляющих необоснованные преимущества отдельным субъектам. При разработке</w:t>
            </w:r>
            <w:r w:rsidRPr="0003673C">
              <w:rPr>
                <w:rFonts w:ascii="Times New Roman" w:hAnsi="Times New Roman" w:cs="Times New Roman"/>
              </w:rPr>
              <w:t xml:space="preserve"> проектов локальных нормативных актов Института в целях создания преференций для заинтересованных лиц в проекте акта предусматриваются </w:t>
            </w:r>
            <w:r>
              <w:rPr>
                <w:rFonts w:ascii="Times New Roman" w:hAnsi="Times New Roman" w:cs="Times New Roman"/>
              </w:rPr>
              <w:t xml:space="preserve">правовые нормы, </w:t>
            </w:r>
            <w:r w:rsidRPr="0003673C">
              <w:rPr>
                <w:rFonts w:ascii="Times New Roman" w:hAnsi="Times New Roman" w:cs="Times New Roman"/>
              </w:rPr>
              <w:t xml:space="preserve">содержащие </w:t>
            </w:r>
            <w:proofErr w:type="spellStart"/>
            <w:r w:rsidRPr="0003673C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03673C">
              <w:rPr>
                <w:rFonts w:ascii="Times New Roman" w:hAnsi="Times New Roman" w:cs="Times New Roman"/>
              </w:rPr>
              <w:t xml:space="preserve"> факторы.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AB735D" w:rsidRDefault="00C15AD9" w:rsidP="00613271">
            <w:pPr>
              <w:rPr>
                <w:rFonts w:ascii="Times New Roman" w:hAnsi="Times New Roman" w:cs="Times New Roman"/>
              </w:rPr>
            </w:pPr>
            <w:r w:rsidRPr="00AB735D">
              <w:rPr>
                <w:rFonts w:ascii="Times New Roman" w:hAnsi="Times New Roman" w:cs="Times New Roman"/>
              </w:rPr>
              <w:t xml:space="preserve">Директор, заместители директора, </w:t>
            </w:r>
            <w:r>
              <w:rPr>
                <w:rFonts w:ascii="Times New Roman" w:hAnsi="Times New Roman" w:cs="Times New Roman"/>
              </w:rPr>
              <w:t>н</w:t>
            </w:r>
            <w:r w:rsidRPr="00AB735D">
              <w:rPr>
                <w:rFonts w:ascii="Times New Roman" w:hAnsi="Times New Roman" w:cs="Times New Roman"/>
              </w:rPr>
              <w:t>ачальник и сотрудники юридического отдела, руководители структурных подразделений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AD9" w:rsidRPr="00BF5D08" w:rsidRDefault="00C15AD9" w:rsidP="00613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AD9" w:rsidRPr="00A26C58" w:rsidRDefault="00C15AD9" w:rsidP="00613271">
            <w:pPr>
              <w:rPr>
                <w:rFonts w:ascii="Times New Roman" w:hAnsi="Times New Roman" w:cs="Times New Roman"/>
              </w:rPr>
            </w:pPr>
            <w:r w:rsidRPr="00A26C58">
              <w:rPr>
                <w:rFonts w:ascii="Times New Roman" w:hAnsi="Times New Roman" w:cs="Times New Roman"/>
              </w:rPr>
              <w:t>Проведение антикоррупционной экспертизы проектов локальных нормативных актов Института</w:t>
            </w:r>
          </w:p>
        </w:tc>
      </w:tr>
    </w:tbl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C15AD9" w:rsidRDefault="006A2599" w:rsidP="00C15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 Карты завершена 11 ноября 2024 года </w:t>
      </w:r>
    </w:p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C15AD9" w:rsidRDefault="00C15AD9" w:rsidP="00C15AD9">
      <w:pPr>
        <w:rPr>
          <w:rFonts w:ascii="Times New Roman" w:hAnsi="Times New Roman" w:cs="Times New Roman"/>
          <w:sz w:val="28"/>
          <w:szCs w:val="28"/>
        </w:rPr>
      </w:pPr>
    </w:p>
    <w:p w:rsidR="00906A7D" w:rsidRDefault="00906A7D"/>
    <w:sectPr w:rsidR="00906A7D" w:rsidSect="00C15A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D9"/>
    <w:rsid w:val="004C0EFD"/>
    <w:rsid w:val="004D23AB"/>
    <w:rsid w:val="005B44CD"/>
    <w:rsid w:val="00670027"/>
    <w:rsid w:val="006A2599"/>
    <w:rsid w:val="00863B0F"/>
    <w:rsid w:val="00906A7D"/>
    <w:rsid w:val="00953B0E"/>
    <w:rsid w:val="009D005A"/>
    <w:rsid w:val="00A26C58"/>
    <w:rsid w:val="00BF640B"/>
    <w:rsid w:val="00C15AD9"/>
    <w:rsid w:val="00D30688"/>
    <w:rsid w:val="00D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A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0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A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0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2024-11-13T08:00:00Z</cp:lastPrinted>
  <dcterms:created xsi:type="dcterms:W3CDTF">2026-02-09T12:42:00Z</dcterms:created>
  <dcterms:modified xsi:type="dcterms:W3CDTF">2026-02-09T12:42:00Z</dcterms:modified>
</cp:coreProperties>
</file>